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6F9" w:rsidRDefault="002576F9" w:rsidP="002576F9">
      <w:pPr>
        <w:pStyle w:val="TOC1"/>
        <w:tabs>
          <w:tab w:val="right" w:leader="dot" w:pos="9350"/>
        </w:tabs>
        <w:rPr>
          <w:noProof/>
        </w:rPr>
      </w:pPr>
      <w:r>
        <w:rPr>
          <w:noProof/>
        </w:rPr>
        <w:t xml:space="preserve">Enginuiti HIPAA Management Solution covers all of the items below and much much more.  Programs can be customized for small, medium and large organizations so that all of your requirements are met and meet the HIPAA Omnibus Standards. </w:t>
      </w:r>
    </w:p>
    <w:p w:rsidR="004B5B2E" w:rsidRDefault="004B5B2E" w:rsidP="004B5B2E">
      <w:pPr>
        <w:rPr>
          <w:rFonts w:eastAsiaTheme="minorEastAsia"/>
        </w:rPr>
      </w:pPr>
      <w:r>
        <w:rPr>
          <w:rFonts w:eastAsiaTheme="minorEastAsia"/>
        </w:rPr>
        <w:t>Daily, Weekly, Monthly and Yearly reports on all Metrix available</w:t>
      </w:r>
    </w:p>
    <w:p w:rsidR="004B5B2E" w:rsidRPr="004B5B2E" w:rsidRDefault="004B5B2E" w:rsidP="004B5B2E">
      <w:pPr>
        <w:rPr>
          <w:rFonts w:eastAsiaTheme="minorEastAsia"/>
        </w:rPr>
      </w:pP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Overall Risk</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Conduct Risk Analysis</w:t>
      </w:r>
      <w:bookmarkStart w:id="0" w:name="_GoBack"/>
      <w:bookmarkEnd w:id="0"/>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Risk Management</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rFonts w:eastAsiaTheme="minorHAnsi"/>
          <w:noProof/>
        </w:rPr>
        <w:t xml:space="preserve">Environment </w:t>
      </w:r>
      <w:r w:rsidRPr="002576F9">
        <w:rPr>
          <w:rFonts w:eastAsiaTheme="minorHAnsi"/>
          <w:noProof/>
        </w:rPr>
        <w:t>–</w:t>
      </w:r>
      <w:r w:rsidRPr="002576F9">
        <w:rPr>
          <w:rFonts w:eastAsiaTheme="minorHAnsi"/>
          <w:noProof/>
        </w:rPr>
        <w:t xml:space="preserve"> Physical Safeguards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Facility Access Controls</w:t>
      </w:r>
    </w:p>
    <w:p w:rsidR="002576F9" w:rsidRDefault="002576F9" w:rsidP="002576F9">
      <w:pPr>
        <w:pStyle w:val="TOC2"/>
        <w:rPr>
          <w:noProof/>
        </w:rPr>
      </w:pPr>
      <w:r w:rsidRPr="002576F9">
        <w:rPr>
          <w:noProof/>
        </w:rPr>
        <w:t>Facility Security Plan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Control and Validation Procedures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Maintenance Records</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Users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Information System Activity Review</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Termination Procedures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Establish Clear Job Description and Responsibilities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Authorization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Evaluate Existing Security Measures Related to Access Controls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Password Management</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Administrative Access Control</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Unique User Identification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Audit Controls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Person or Entity Authentication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Minimal Necessary Access (Privacy Rule)</w:t>
      </w:r>
      <w:r>
        <w:rPr>
          <w:rFonts w:asciiTheme="minorHAnsi" w:eastAsiaTheme="minorEastAsia" w:hAnsiTheme="minorHAnsi" w:cstheme="minorBidi"/>
          <w:noProof/>
          <w:color w:val="auto"/>
          <w:sz w:val="22"/>
          <w:szCs w:val="22"/>
        </w:rPr>
        <w:t xml:space="preserve"> </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Servers and Local Computers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Protection Against Malicious Software</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Applications and Data Criticality Analysis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Data Backup Plan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Business Associate Contracts for Cloud Servers and Data Centers</w:t>
      </w:r>
    </w:p>
    <w:p w:rsidR="002576F9" w:rsidRDefault="002576F9" w:rsidP="002576F9">
      <w:pPr>
        <w:pStyle w:val="TOC2"/>
        <w:rPr>
          <w:noProof/>
        </w:rPr>
      </w:pPr>
      <w:r w:rsidRPr="002576F9">
        <w:rPr>
          <w:noProof/>
        </w:rPr>
        <w:t>Encryption and Decryption (data at rest)</w:t>
      </w:r>
    </w:p>
    <w:p w:rsidR="002576F9" w:rsidRDefault="002576F9" w:rsidP="002576F9">
      <w:pPr>
        <w:pStyle w:val="TOC2"/>
        <w:rPr>
          <w:noProof/>
        </w:rPr>
      </w:pPr>
      <w:r w:rsidRPr="002576F9">
        <w:rPr>
          <w:noProof/>
        </w:rPr>
        <w:t xml:space="preserve"> Audit Controls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Business Associate Contracts for Sync folders (DropBox, Box, Google Drive, etc.)</w:t>
      </w:r>
      <w:r>
        <w:rPr>
          <w:rFonts w:asciiTheme="minorHAnsi" w:eastAsiaTheme="minorEastAsia" w:hAnsiTheme="minorHAnsi" w:cstheme="minorBidi"/>
          <w:noProof/>
          <w:color w:val="auto"/>
          <w:sz w:val="22"/>
          <w:szCs w:val="22"/>
        </w:rPr>
        <w:t xml:space="preserve"> </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Encryption and Decryption (data at rest)</w:t>
      </w:r>
      <w:r>
        <w:rPr>
          <w:rFonts w:asciiTheme="minorHAnsi" w:eastAsiaTheme="minorEastAsia" w:hAnsiTheme="minorHAnsi" w:cstheme="minorBidi"/>
          <w:noProof/>
          <w:color w:val="auto"/>
          <w:sz w:val="22"/>
          <w:szCs w:val="22"/>
        </w:rPr>
        <w:t xml:space="preserve"> </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Firewall</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Authorization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Protection Against Malicious Software</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Email</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Applications and Data Criticality Analysis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lastRenderedPageBreak/>
        <w:t>Business Associate Contracts for External Email Providers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Authorization &amp; Access Establishment</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Wireless</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Authorization</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Access Establishment</w:t>
      </w:r>
    </w:p>
    <w:p w:rsidR="002576F9" w:rsidRDefault="002576F9" w:rsidP="002576F9">
      <w:pPr>
        <w:pStyle w:val="TOC2"/>
        <w:rPr>
          <w:rFonts w:asciiTheme="minorHAnsi" w:eastAsiaTheme="minorEastAsia" w:hAnsiTheme="minorHAnsi" w:cstheme="minorBidi"/>
          <w:noProof/>
          <w:color w:val="auto"/>
          <w:sz w:val="22"/>
          <w:szCs w:val="22"/>
        </w:rPr>
      </w:pPr>
      <w:r w:rsidRPr="002576F9">
        <w:rPr>
          <w:noProof/>
        </w:rPr>
        <w:t>Workforce Security</w:t>
      </w:r>
    </w:p>
    <w:p w:rsidR="002576F9" w:rsidRDefault="002576F9" w:rsidP="002576F9">
      <w:pPr>
        <w:pStyle w:val="TOC1"/>
        <w:tabs>
          <w:tab w:val="right" w:leader="dot" w:pos="9350"/>
        </w:tabs>
        <w:rPr>
          <w:rFonts w:asciiTheme="minorHAnsi" w:eastAsiaTheme="minorEastAsia" w:hAnsiTheme="minorHAnsi" w:cstheme="minorBidi"/>
          <w:noProof/>
          <w:color w:val="auto"/>
          <w:sz w:val="22"/>
          <w:szCs w:val="22"/>
        </w:rPr>
      </w:pPr>
      <w:r w:rsidRPr="002576F9">
        <w:rPr>
          <w:noProof/>
        </w:rPr>
        <w:t>Transmission Security Policy</w:t>
      </w:r>
    </w:p>
    <w:p w:rsidR="00010D04" w:rsidRDefault="002576F9" w:rsidP="002576F9">
      <w:r w:rsidRPr="002576F9">
        <w:rPr>
          <w:noProof/>
        </w:rPr>
        <w:t>Develop and Implement Transmission Security Policy and Procedures</w:t>
      </w:r>
      <w:r>
        <w:rPr>
          <w:noProof/>
          <w:webHidden/>
        </w:rPr>
        <w:tab/>
      </w:r>
    </w:p>
    <w:sectPr w:rsidR="00010D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A5B" w:rsidRDefault="006E2A5B" w:rsidP="002576F9">
      <w:r>
        <w:separator/>
      </w:r>
    </w:p>
  </w:endnote>
  <w:endnote w:type="continuationSeparator" w:id="0">
    <w:p w:rsidR="006E2A5B" w:rsidRDefault="006E2A5B" w:rsidP="00257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A5B" w:rsidRDefault="006E2A5B" w:rsidP="002576F9">
      <w:r>
        <w:separator/>
      </w:r>
    </w:p>
  </w:footnote>
  <w:footnote w:type="continuationSeparator" w:id="0">
    <w:p w:rsidR="006E2A5B" w:rsidRDefault="006E2A5B" w:rsidP="00257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6F9"/>
    <w:rsid w:val="00010D04"/>
    <w:rsid w:val="002576F9"/>
    <w:rsid w:val="003E61F5"/>
    <w:rsid w:val="004B5B2E"/>
    <w:rsid w:val="006E2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6F9"/>
    <w:pPr>
      <w:spacing w:after="0" w:line="240" w:lineRule="auto"/>
    </w:pPr>
    <w:rPr>
      <w:rFonts w:ascii="Calibri" w:eastAsia="Times New Roman" w:hAnsi="Times New Roman" w:cs="Times New Roman"/>
      <w:color w:val="5959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2576F9"/>
    <w:pPr>
      <w:spacing w:after="100"/>
    </w:pPr>
  </w:style>
  <w:style w:type="paragraph" w:styleId="TOC2">
    <w:name w:val="toc 2"/>
    <w:basedOn w:val="Normal"/>
    <w:next w:val="Normal"/>
    <w:autoRedefine/>
    <w:uiPriority w:val="39"/>
    <w:unhideWhenUsed/>
    <w:rsid w:val="002576F9"/>
    <w:pPr>
      <w:tabs>
        <w:tab w:val="right" w:leader="dot" w:pos="9350"/>
      </w:tabs>
      <w:spacing w:after="100"/>
      <w:ind w:left="220"/>
    </w:pPr>
  </w:style>
  <w:style w:type="character" w:styleId="Hyperlink">
    <w:name w:val="Hyperlink"/>
    <w:basedOn w:val="DefaultParagraphFont"/>
    <w:uiPriority w:val="99"/>
    <w:unhideWhenUsed/>
    <w:rsid w:val="002576F9"/>
    <w:rPr>
      <w:color w:val="0000FF" w:themeColor="hyperlink"/>
      <w:u w:val="single"/>
    </w:rPr>
  </w:style>
  <w:style w:type="paragraph" w:styleId="Header">
    <w:name w:val="header"/>
    <w:basedOn w:val="Normal"/>
    <w:link w:val="HeaderChar"/>
    <w:uiPriority w:val="99"/>
    <w:unhideWhenUsed/>
    <w:rsid w:val="002576F9"/>
    <w:pPr>
      <w:tabs>
        <w:tab w:val="center" w:pos="4680"/>
        <w:tab w:val="right" w:pos="9360"/>
      </w:tabs>
    </w:pPr>
  </w:style>
  <w:style w:type="character" w:customStyle="1" w:styleId="HeaderChar">
    <w:name w:val="Header Char"/>
    <w:basedOn w:val="DefaultParagraphFont"/>
    <w:link w:val="Header"/>
    <w:uiPriority w:val="99"/>
    <w:rsid w:val="002576F9"/>
    <w:rPr>
      <w:rFonts w:ascii="Calibri" w:eastAsia="Times New Roman" w:hAnsi="Times New Roman" w:cs="Times New Roman"/>
      <w:color w:val="595959"/>
      <w:sz w:val="20"/>
      <w:szCs w:val="20"/>
    </w:rPr>
  </w:style>
  <w:style w:type="paragraph" w:styleId="Footer">
    <w:name w:val="footer"/>
    <w:basedOn w:val="Normal"/>
    <w:link w:val="FooterChar"/>
    <w:uiPriority w:val="99"/>
    <w:unhideWhenUsed/>
    <w:rsid w:val="002576F9"/>
    <w:pPr>
      <w:tabs>
        <w:tab w:val="center" w:pos="4680"/>
        <w:tab w:val="right" w:pos="9360"/>
      </w:tabs>
    </w:pPr>
  </w:style>
  <w:style w:type="character" w:customStyle="1" w:styleId="FooterChar">
    <w:name w:val="Footer Char"/>
    <w:basedOn w:val="DefaultParagraphFont"/>
    <w:link w:val="Footer"/>
    <w:uiPriority w:val="99"/>
    <w:rsid w:val="002576F9"/>
    <w:rPr>
      <w:rFonts w:ascii="Calibri" w:eastAsia="Times New Roman" w:hAnsi="Times New Roman" w:cs="Times New Roman"/>
      <w:color w:val="595959"/>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6F9"/>
    <w:pPr>
      <w:spacing w:after="0" w:line="240" w:lineRule="auto"/>
    </w:pPr>
    <w:rPr>
      <w:rFonts w:ascii="Calibri" w:eastAsia="Times New Roman" w:hAnsi="Times New Roman" w:cs="Times New Roman"/>
      <w:color w:val="5959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2576F9"/>
    <w:pPr>
      <w:spacing w:after="100"/>
    </w:pPr>
  </w:style>
  <w:style w:type="paragraph" w:styleId="TOC2">
    <w:name w:val="toc 2"/>
    <w:basedOn w:val="Normal"/>
    <w:next w:val="Normal"/>
    <w:autoRedefine/>
    <w:uiPriority w:val="39"/>
    <w:unhideWhenUsed/>
    <w:rsid w:val="002576F9"/>
    <w:pPr>
      <w:tabs>
        <w:tab w:val="right" w:leader="dot" w:pos="9350"/>
      </w:tabs>
      <w:spacing w:after="100"/>
      <w:ind w:left="220"/>
    </w:pPr>
  </w:style>
  <w:style w:type="character" w:styleId="Hyperlink">
    <w:name w:val="Hyperlink"/>
    <w:basedOn w:val="DefaultParagraphFont"/>
    <w:uiPriority w:val="99"/>
    <w:unhideWhenUsed/>
    <w:rsid w:val="002576F9"/>
    <w:rPr>
      <w:color w:val="0000FF" w:themeColor="hyperlink"/>
      <w:u w:val="single"/>
    </w:rPr>
  </w:style>
  <w:style w:type="paragraph" w:styleId="Header">
    <w:name w:val="header"/>
    <w:basedOn w:val="Normal"/>
    <w:link w:val="HeaderChar"/>
    <w:uiPriority w:val="99"/>
    <w:unhideWhenUsed/>
    <w:rsid w:val="002576F9"/>
    <w:pPr>
      <w:tabs>
        <w:tab w:val="center" w:pos="4680"/>
        <w:tab w:val="right" w:pos="9360"/>
      </w:tabs>
    </w:pPr>
  </w:style>
  <w:style w:type="character" w:customStyle="1" w:styleId="HeaderChar">
    <w:name w:val="Header Char"/>
    <w:basedOn w:val="DefaultParagraphFont"/>
    <w:link w:val="Header"/>
    <w:uiPriority w:val="99"/>
    <w:rsid w:val="002576F9"/>
    <w:rPr>
      <w:rFonts w:ascii="Calibri" w:eastAsia="Times New Roman" w:hAnsi="Times New Roman" w:cs="Times New Roman"/>
      <w:color w:val="595959"/>
      <w:sz w:val="20"/>
      <w:szCs w:val="20"/>
    </w:rPr>
  </w:style>
  <w:style w:type="paragraph" w:styleId="Footer">
    <w:name w:val="footer"/>
    <w:basedOn w:val="Normal"/>
    <w:link w:val="FooterChar"/>
    <w:uiPriority w:val="99"/>
    <w:unhideWhenUsed/>
    <w:rsid w:val="002576F9"/>
    <w:pPr>
      <w:tabs>
        <w:tab w:val="center" w:pos="4680"/>
        <w:tab w:val="right" w:pos="9360"/>
      </w:tabs>
    </w:pPr>
  </w:style>
  <w:style w:type="character" w:customStyle="1" w:styleId="FooterChar">
    <w:name w:val="Footer Char"/>
    <w:basedOn w:val="DefaultParagraphFont"/>
    <w:link w:val="Footer"/>
    <w:uiPriority w:val="99"/>
    <w:rsid w:val="002576F9"/>
    <w:rPr>
      <w:rFonts w:ascii="Calibri" w:eastAsia="Times New Roman" w:hAnsi="Times New Roman" w:cs="Times New Roman"/>
      <w:color w:val="59595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Enginuiti</dc:creator>
  <cp:lastModifiedBy>Enginuiti</cp:lastModifiedBy>
  <cp:revision>2</cp:revision>
  <dcterms:created xsi:type="dcterms:W3CDTF">2018-07-16T18:55:00Z</dcterms:created>
  <dcterms:modified xsi:type="dcterms:W3CDTF">2018-07-16T19:11:00Z</dcterms:modified>
</cp:coreProperties>
</file>